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F6580" w14:textId="494B747B" w:rsidR="00B701BC" w:rsidRDefault="00B701BC">
      <w:pPr>
        <w:rPr>
          <w:color w:val="1B1534" w:themeColor="text2"/>
        </w:rPr>
      </w:pPr>
      <w:bookmarkStart w:id="0" w:name="_GoBack"/>
      <w:bookmarkEnd w:id="0"/>
    </w:p>
    <w:p w14:paraId="44EE3583" w14:textId="2A150DF3" w:rsidR="0084053D" w:rsidRDefault="0084053D" w:rsidP="0084053D">
      <w:pPr>
        <w:rPr>
          <w:rFonts w:ascii="Consolas" w:hAnsi="Consolas" w:cs="Consolas"/>
          <w:b/>
          <w:sz w:val="56"/>
          <w:szCs w:val="40"/>
        </w:rPr>
      </w:pPr>
      <w:r>
        <w:rPr>
          <w:rFonts w:ascii="Consolas" w:hAnsi="Consolas" w:cs="Consolas"/>
          <w:b/>
          <w:sz w:val="56"/>
          <w:szCs w:val="40"/>
        </w:rPr>
        <w:t>Proof of Market Funding Call - 2020</w:t>
      </w:r>
    </w:p>
    <w:p w14:paraId="72AF2233" w14:textId="77777777" w:rsidR="0084053D" w:rsidRPr="00893B26" w:rsidRDefault="0084053D" w:rsidP="0084053D"/>
    <w:p w14:paraId="50AAAA3E" w14:textId="2D1E2F27" w:rsidR="0084053D" w:rsidRPr="0084053D" w:rsidRDefault="0084053D" w:rsidP="0084053D">
      <w:pPr>
        <w:rPr>
          <w:i/>
        </w:rPr>
      </w:pPr>
      <w:r w:rsidRPr="0084053D">
        <w:rPr>
          <w:i/>
        </w:rPr>
        <w:t xml:space="preserve">The following document provides call guidance and key information on the Grow </w:t>
      </w:r>
      <w:proofErr w:type="spellStart"/>
      <w:r w:rsidRPr="0084053D">
        <w:rPr>
          <w:i/>
        </w:rPr>
        <w:t>MedTech</w:t>
      </w:r>
      <w:proofErr w:type="spellEnd"/>
      <w:r w:rsidRPr="0084053D">
        <w:rPr>
          <w:i/>
        </w:rPr>
        <w:t xml:space="preserve"> Proof of Market funding call for 2020.</w:t>
      </w:r>
    </w:p>
    <w:p w14:paraId="582348A5" w14:textId="60466AF1" w:rsidR="0084053D" w:rsidRDefault="0084053D" w:rsidP="0084053D"/>
    <w:p w14:paraId="66ABA7F1" w14:textId="53E0BB02" w:rsidR="0084053D" w:rsidRDefault="0084053D" w:rsidP="0084053D">
      <w:pPr>
        <w:pStyle w:val="Title"/>
      </w:pPr>
      <w:r>
        <w:t>Opportunities overview</w:t>
      </w:r>
    </w:p>
    <w:p w14:paraId="6256AAC8" w14:textId="77777777" w:rsidR="0084053D" w:rsidRDefault="0084053D" w:rsidP="0084053D"/>
    <w:p w14:paraId="31E29984" w14:textId="77777777" w:rsidR="0084053D" w:rsidRDefault="0084053D" w:rsidP="0084053D">
      <w:r>
        <w:t xml:space="preserve">One of the aims of Grow </w:t>
      </w:r>
      <w:proofErr w:type="spellStart"/>
      <w:r>
        <w:t>MedTech</w:t>
      </w:r>
      <w:proofErr w:type="spellEnd"/>
      <w:r>
        <w:t xml:space="preserve"> is to facilitate collaboration, connect capability and develop partnerships for industry, providing a brokerage role to strategically match companies to researchers for industry driven projects. Although these calls do not fund industry/commercial organisations directly they aim to stimulate and strengthen interaction and collaboration between our partner universities and industry. </w:t>
      </w:r>
    </w:p>
    <w:p w14:paraId="5D283524" w14:textId="77777777" w:rsidR="0084053D" w:rsidRDefault="0084053D" w:rsidP="0084053D"/>
    <w:p w14:paraId="6A8B9E43" w14:textId="77777777" w:rsidR="0084053D" w:rsidRDefault="0084053D" w:rsidP="0084053D">
      <w:r w:rsidRPr="003A05A8">
        <w:t xml:space="preserve">Grow </w:t>
      </w:r>
      <w:proofErr w:type="spellStart"/>
      <w:r w:rsidRPr="003A05A8">
        <w:t>MedTech</w:t>
      </w:r>
      <w:proofErr w:type="spellEnd"/>
      <w:r w:rsidRPr="003A05A8">
        <w:t xml:space="preserve"> support</w:t>
      </w:r>
      <w:r>
        <w:t>s</w:t>
      </w:r>
      <w:r w:rsidRPr="003A05A8">
        <w:t xml:space="preserve"> medical technology innovation in the Lee</w:t>
      </w:r>
      <w:r>
        <w:t xml:space="preserve">ds and Sheffield City Regions. It focuses </w:t>
      </w:r>
      <w:r w:rsidRPr="003A05A8">
        <w:t xml:space="preserve">on technology convergence and the de-risking of </w:t>
      </w:r>
      <w:r>
        <w:t xml:space="preserve">medical </w:t>
      </w:r>
      <w:r w:rsidRPr="003A05A8">
        <w:t xml:space="preserve">technologies, </w:t>
      </w:r>
      <w:r>
        <w:t xml:space="preserve">by bringing </w:t>
      </w:r>
      <w:r w:rsidRPr="003A05A8">
        <w:t xml:space="preserve">together leading </w:t>
      </w:r>
      <w:r>
        <w:t xml:space="preserve">medical </w:t>
      </w:r>
      <w:r w:rsidRPr="003A05A8">
        <w:t>technology and translational expertise in the Leeds and Sheffield city regions</w:t>
      </w:r>
      <w:r>
        <w:t xml:space="preserve">. </w:t>
      </w:r>
      <w:r w:rsidRPr="003A05A8">
        <w:t>The programme aims to unlock the full potential of the region and make it a leading area for medical technology innovation and commercialisation in the UK</w:t>
      </w:r>
      <w:r>
        <w:t>.</w:t>
      </w:r>
    </w:p>
    <w:p w14:paraId="094357AB" w14:textId="77777777" w:rsidR="0084053D" w:rsidRDefault="0084053D" w:rsidP="0084053D"/>
    <w:p w14:paraId="7787011A" w14:textId="3B8DB7B3" w:rsidR="0084053D" w:rsidRDefault="0084053D" w:rsidP="0084053D">
      <w:pPr>
        <w:rPr>
          <w:szCs w:val="22"/>
        </w:rPr>
      </w:pPr>
      <w:r w:rsidRPr="00DB2442">
        <w:t xml:space="preserve">Grow </w:t>
      </w:r>
      <w:proofErr w:type="spellStart"/>
      <w:r w:rsidRPr="00DB2442">
        <w:t>MedTech</w:t>
      </w:r>
      <w:proofErr w:type="spellEnd"/>
      <w:r w:rsidRPr="00DB2442">
        <w:t xml:space="preserve"> is inviting applications </w:t>
      </w:r>
      <w:r>
        <w:t xml:space="preserve">for Proof of Market, projects </w:t>
      </w:r>
      <w:r w:rsidRPr="00DB2442">
        <w:t>from academic</w:t>
      </w:r>
      <w:r>
        <w:t xml:space="preserve"> led</w:t>
      </w:r>
      <w:r w:rsidRPr="00DB2442">
        <w:t xml:space="preserve"> teams at partner institutions to advance the development and </w:t>
      </w:r>
      <w:proofErr w:type="spellStart"/>
      <w:r w:rsidRPr="00DB2442">
        <w:t>derisk</w:t>
      </w:r>
      <w:proofErr w:type="spellEnd"/>
      <w:r w:rsidRPr="00DB2442">
        <w:t xml:space="preserve"> technologies in order to </w:t>
      </w:r>
      <w:r>
        <w:t>build confidence</w:t>
      </w:r>
      <w:r w:rsidRPr="00DB2442">
        <w:t xml:space="preserve"> for further investment</w:t>
      </w:r>
      <w:r>
        <w:t xml:space="preserve"> (Figure 1)</w:t>
      </w:r>
      <w:r w:rsidRPr="00DB2442">
        <w:t>. The</w:t>
      </w:r>
      <w:r>
        <w:t>se</w:t>
      </w:r>
      <w:r w:rsidRPr="00DB2442">
        <w:t xml:space="preserve"> call</w:t>
      </w:r>
      <w:r>
        <w:t>s</w:t>
      </w:r>
      <w:r w:rsidRPr="00DB2442">
        <w:t xml:space="preserve"> will support projects that demonstrate close and tangible links with industry and clinical/healthcare sector.</w:t>
      </w:r>
      <w:r w:rsidRPr="00DB2442">
        <w:rPr>
          <w:szCs w:val="22"/>
        </w:rPr>
        <w:t xml:space="preserve"> The</w:t>
      </w:r>
      <w:r>
        <w:rPr>
          <w:szCs w:val="22"/>
        </w:rPr>
        <w:t>se</w:t>
      </w:r>
      <w:r w:rsidRPr="00DB2442">
        <w:rPr>
          <w:szCs w:val="22"/>
        </w:rPr>
        <w:t xml:space="preserve"> call</w:t>
      </w:r>
      <w:r>
        <w:rPr>
          <w:szCs w:val="22"/>
        </w:rPr>
        <w:t>s</w:t>
      </w:r>
      <w:r w:rsidRPr="00DB2442">
        <w:rPr>
          <w:szCs w:val="22"/>
        </w:rPr>
        <w:t xml:space="preserve"> ha</w:t>
      </w:r>
      <w:r>
        <w:rPr>
          <w:szCs w:val="22"/>
        </w:rPr>
        <w:t>ve</w:t>
      </w:r>
      <w:r w:rsidRPr="00DB2442">
        <w:rPr>
          <w:szCs w:val="22"/>
        </w:rPr>
        <w:t xml:space="preserve"> been developed with the aim of accelerating and enhancing innovation in all sectors of medical technologies and medical devices with significant commercial potential and patient benefit</w:t>
      </w:r>
      <w:r>
        <w:rPr>
          <w:szCs w:val="22"/>
        </w:rPr>
        <w:t>. There is a</w:t>
      </w:r>
      <w:r w:rsidRPr="00DB2442">
        <w:rPr>
          <w:szCs w:val="22"/>
        </w:rPr>
        <w:t xml:space="preserve"> particular focus on digital health and technology convergence.</w:t>
      </w:r>
      <w:r>
        <w:rPr>
          <w:szCs w:val="22"/>
        </w:rPr>
        <w:t xml:space="preserve"> </w:t>
      </w:r>
    </w:p>
    <w:p w14:paraId="11423550" w14:textId="77777777" w:rsidR="0084053D" w:rsidRDefault="0084053D" w:rsidP="0084053D">
      <w:pPr>
        <w:rPr>
          <w:szCs w:val="22"/>
        </w:rPr>
      </w:pPr>
    </w:p>
    <w:p w14:paraId="34040313" w14:textId="77777777" w:rsidR="0084053D" w:rsidRDefault="0084053D" w:rsidP="0084053D">
      <w:r>
        <w:rPr>
          <w:noProof/>
          <w:lang w:eastAsia="en-GB"/>
        </w:rPr>
        <w:drawing>
          <wp:inline distT="0" distB="0" distL="0" distR="0" wp14:anchorId="7B6CF3AC" wp14:editId="1DCCF8DC">
            <wp:extent cx="6911975" cy="1858405"/>
            <wp:effectExtent l="0" t="0" r="317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858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F6AE8C" w14:textId="77777777" w:rsidR="0084053D" w:rsidRDefault="0084053D" w:rsidP="0084053D">
      <w:pPr>
        <w:rPr>
          <w:rFonts w:ascii="Calibri" w:hAnsi="Calibri" w:cs="Calibri"/>
          <w:i/>
          <w:iCs/>
          <w:color w:val="000000"/>
          <w:szCs w:val="22"/>
        </w:rPr>
      </w:pPr>
      <w:r w:rsidRPr="00EC2FE8">
        <w:rPr>
          <w:rFonts w:ascii="Calibri" w:hAnsi="Calibri" w:cs="Calibri"/>
          <w:i/>
          <w:iCs/>
          <w:color w:val="000000"/>
          <w:szCs w:val="22"/>
        </w:rPr>
        <w:t xml:space="preserve">Figure 1: Schematic of Grow </w:t>
      </w:r>
      <w:proofErr w:type="spellStart"/>
      <w:r w:rsidRPr="00EC2FE8">
        <w:rPr>
          <w:rFonts w:ascii="Calibri" w:hAnsi="Calibri" w:cs="Calibri"/>
          <w:i/>
          <w:iCs/>
          <w:color w:val="000000"/>
          <w:szCs w:val="22"/>
        </w:rPr>
        <w:t>MedTech</w:t>
      </w:r>
      <w:proofErr w:type="spellEnd"/>
      <w:r w:rsidRPr="00EC2FE8">
        <w:rPr>
          <w:rFonts w:ascii="Calibri" w:hAnsi="Calibri" w:cs="Calibri"/>
          <w:i/>
          <w:iCs/>
          <w:color w:val="000000"/>
          <w:szCs w:val="22"/>
        </w:rPr>
        <w:t xml:space="preserve"> Project formats in relation to TRL.</w:t>
      </w:r>
    </w:p>
    <w:p w14:paraId="4A92DEA4" w14:textId="77777777" w:rsidR="0084053D" w:rsidRDefault="0084053D" w:rsidP="0084053D"/>
    <w:p w14:paraId="7F7412BD" w14:textId="77777777" w:rsidR="0084053D" w:rsidRDefault="0084053D" w:rsidP="0084053D"/>
    <w:p w14:paraId="4DA911F2" w14:textId="2C4BB625" w:rsidR="0084053D" w:rsidRPr="00B405DC" w:rsidRDefault="0084053D" w:rsidP="0084053D">
      <w:pPr>
        <w:rPr>
          <w:b/>
        </w:rPr>
      </w:pPr>
      <w:r w:rsidRPr="00B405DC">
        <w:rPr>
          <w:b/>
        </w:rPr>
        <w:t xml:space="preserve">Grow </w:t>
      </w:r>
      <w:proofErr w:type="spellStart"/>
      <w:r w:rsidRPr="00B405DC">
        <w:rPr>
          <w:b/>
        </w:rPr>
        <w:t>MedTech</w:t>
      </w:r>
      <w:proofErr w:type="spellEnd"/>
      <w:r w:rsidRPr="00B405DC">
        <w:rPr>
          <w:b/>
        </w:rPr>
        <w:t xml:space="preserve"> supports the development of medical devices</w:t>
      </w:r>
      <w:r>
        <w:rPr>
          <w:b/>
        </w:rPr>
        <w:t xml:space="preserve"> including</w:t>
      </w:r>
      <w:r w:rsidRPr="00B405DC">
        <w:rPr>
          <w:b/>
        </w:rPr>
        <w:t xml:space="preserve"> materials, and software, but does not support the development and discovery of pharmaceuticals. </w:t>
      </w:r>
    </w:p>
    <w:p w14:paraId="6A2242BC" w14:textId="77777777" w:rsidR="0084053D" w:rsidRDefault="0084053D" w:rsidP="0084053D"/>
    <w:p w14:paraId="6F82791B" w14:textId="77777777" w:rsidR="0084053D" w:rsidRDefault="0084053D" w:rsidP="0084053D"/>
    <w:p w14:paraId="38C4D169" w14:textId="77777777" w:rsidR="0084053D" w:rsidRDefault="0084053D" w:rsidP="0084053D">
      <w:r w:rsidRPr="00442D25">
        <w:t>All applications should have a strong emphasis on patient benefit with plans for patient and public involvement. Industry involvemen</w:t>
      </w:r>
      <w:r>
        <w:t>t is recommended where possible. Pr</w:t>
      </w:r>
      <w:r w:rsidRPr="00442D25">
        <w:t>ojects leveraging industry or third-party funding to t</w:t>
      </w:r>
      <w:r w:rsidRPr="00F160AE">
        <w:rPr>
          <w:color w:val="000000" w:themeColor="text1"/>
        </w:rPr>
        <w:t>ranslate</w:t>
      </w:r>
      <w:r w:rsidRPr="00442D25">
        <w:t xml:space="preserve"> research for clinical impact are also important to Grow </w:t>
      </w:r>
      <w:proofErr w:type="spellStart"/>
      <w:r w:rsidRPr="00442D25">
        <w:t>MedTech</w:t>
      </w:r>
      <w:proofErr w:type="spellEnd"/>
      <w:r w:rsidRPr="00442D25">
        <w:t>.</w:t>
      </w:r>
    </w:p>
    <w:p w14:paraId="1769DFEB" w14:textId="77777777" w:rsidR="0084053D" w:rsidRDefault="0084053D" w:rsidP="00F8225D">
      <w:pPr>
        <w:pStyle w:val="Heading1"/>
      </w:pPr>
      <w:r>
        <w:br w:type="page"/>
      </w:r>
    </w:p>
    <w:p w14:paraId="75066F21" w14:textId="2002BF17" w:rsidR="0084053D" w:rsidRPr="00893B26" w:rsidRDefault="0084053D" w:rsidP="0084053D">
      <w:pPr>
        <w:pStyle w:val="Title"/>
      </w:pPr>
      <w:r>
        <w:lastRenderedPageBreak/>
        <w:t>A</w:t>
      </w:r>
      <w:r w:rsidRPr="00893B26">
        <w:t>pplication guidance</w:t>
      </w:r>
    </w:p>
    <w:p w14:paraId="12E24CFC" w14:textId="77777777" w:rsidR="0084053D" w:rsidRDefault="0084053D" w:rsidP="0084053D">
      <w:pPr>
        <w:rPr>
          <w:szCs w:val="22"/>
        </w:rPr>
      </w:pPr>
      <w:r w:rsidRPr="00346977">
        <w:rPr>
          <w:noProof/>
          <w:szCs w:val="22"/>
          <w:lang w:eastAsia="en-GB"/>
        </w:rPr>
        <mc:AlternateContent>
          <mc:Choice Requires="wps">
            <w:drawing>
              <wp:inline distT="0" distB="0" distL="0" distR="0" wp14:anchorId="0C476F3E" wp14:editId="2B8345FC">
                <wp:extent cx="6905625" cy="1000125"/>
                <wp:effectExtent l="0" t="0" r="28575" b="28575"/>
                <wp:docPr id="4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3850" y="1666875"/>
                          <a:ext cx="6905625" cy="1000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412F61"/>
                        </a:solidFill>
                        <a:ln>
                          <a:solidFill>
                            <a:srgbClr val="412F6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DF535" w14:textId="77777777" w:rsidR="0084053D" w:rsidRPr="00F050FF" w:rsidRDefault="0084053D" w:rsidP="0084053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F050FF">
                              <w:rPr>
                                <w:rFonts w:asciiTheme="minorHAnsi" w:hAnsi="Arial" w:cstheme="minorBidi"/>
                                <w:b/>
                                <w:bCs/>
                                <w:i/>
                                <w:iCs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Due-diligence and de-risking funding:</w:t>
                            </w:r>
                          </w:p>
                          <w:p w14:paraId="3094E7D1" w14:textId="05E58E2A" w:rsidR="0084053D" w:rsidRPr="00F050FF" w:rsidRDefault="0084053D" w:rsidP="0084053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F050FF">
                              <w:rPr>
                                <w:rFonts w:asciiTheme="minorHAnsi" w:hAnsi="Arial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Funding to enable commercially inspired projects to be validated and de-risked: establishing a market need and enabling further investment to be attracted. Outcomes from this work will be validated and de-risked technology opportunities, with an established market need, subsequently</w:t>
                            </w:r>
                            <w:r w:rsidR="009C01B8">
                              <w:rPr>
                                <w:rFonts w:asciiTheme="minorHAnsi" w:hAnsi="Arial" w:cstheme="minorBidi"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 attracting feasibility funding.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C476F3E" id="Rounded Rectangle 3" o:spid="_x0000_s1026" style="width:543.75pt;height: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" fillcolor="#412f61" strokecolor="#412f61" strokeweight="1pt">
                <v:stroke joinstyle="miter"/>
                <v:textbox>
                  <w:txbxContent>
                    <w:p w14:paraId="755DF535" w14:textId="77777777" w:rsidR="0084053D" w:rsidRPr="00F050FF" w:rsidRDefault="0084053D" w:rsidP="0084053D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F050FF">
                        <w:rPr>
                          <w:rFonts w:asciiTheme="minorHAnsi" w:hAnsi="Arial" w:cstheme="minorBidi"/>
                          <w:b/>
                          <w:bCs/>
                          <w:i/>
                          <w:iCs/>
                          <w:color w:val="FFFFFF" w:themeColor="light1"/>
                          <w:kern w:val="24"/>
                          <w:sz w:val="22"/>
                          <w:szCs w:val="22"/>
                        </w:rPr>
                        <w:t>Due-diligence and de-risking funding:</w:t>
                      </w:r>
                    </w:p>
                    <w:p w14:paraId="3094E7D1" w14:textId="05E58E2A" w:rsidR="0084053D" w:rsidRPr="00F050FF" w:rsidRDefault="0084053D" w:rsidP="0084053D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F050FF">
                        <w:rPr>
                          <w:rFonts w:asciiTheme="minorHAnsi" w:hAnsi="Arial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>Funding to enable commercially inspired projects to be validated and de-risked: establishing a market need and enabling further investment to be attracted. Outcomes from this work will be validated and de-risked technology opportunities, with an established market need, subsequently</w:t>
                      </w:r>
                      <w:r w:rsidR="009C01B8">
                        <w:rPr>
                          <w:rFonts w:asciiTheme="minorHAnsi" w:hAnsi="Arial" w:cstheme="minorBidi"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 attracting feasibility funding.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EB02D1A" w14:textId="77777777" w:rsidR="0084053D" w:rsidRDefault="0084053D" w:rsidP="0084053D">
      <w:pPr>
        <w:pStyle w:val="Heading1"/>
      </w:pPr>
      <w:bookmarkStart w:id="1" w:name="_Toc27566588"/>
      <w:r>
        <w:t>Scope of funding</w:t>
      </w:r>
      <w:bookmarkEnd w:id="1"/>
    </w:p>
    <w:p w14:paraId="1350DC8A" w14:textId="77777777" w:rsidR="0084053D" w:rsidRDefault="0084053D" w:rsidP="0084053D">
      <w:r w:rsidRPr="00151FBE">
        <w:t>Projects should aim to bring together researchers, clinicians, patients/public and industry. All components are not expected to be present for the duration of the project however, the applicant is advised to consider how they will be incorporated</w:t>
      </w:r>
      <w:r>
        <w:t xml:space="preserve"> in the medium and longer term.</w:t>
      </w:r>
    </w:p>
    <w:p w14:paraId="20295148" w14:textId="77777777" w:rsidR="0084053D" w:rsidRDefault="0084053D" w:rsidP="0084053D"/>
    <w:p w14:paraId="6C200501" w14:textId="77777777" w:rsidR="0084053D" w:rsidRDefault="0084053D" w:rsidP="0084053D">
      <w:r>
        <w:t xml:space="preserve">Proof of Market awards costed up to £5,000 and of a duration of 6 months, are available through this call, which fit with the award scope. </w:t>
      </w:r>
    </w:p>
    <w:p w14:paraId="236CED01" w14:textId="77777777" w:rsidR="0084053D" w:rsidRDefault="0084053D" w:rsidP="0084053D"/>
    <w:p w14:paraId="24CCF9BC" w14:textId="77777777" w:rsidR="0084053D" w:rsidRDefault="0084053D" w:rsidP="0084053D">
      <w:r>
        <w:t xml:space="preserve">The funding will be responsive </w:t>
      </w:r>
      <w:r w:rsidRPr="00745A98">
        <w:t>and managed by the Technology Innovation Management Team throughout the length of the programme with emphasis on developing critical mass in these activities early on to feed the innovation pipeline.</w:t>
      </w:r>
    </w:p>
    <w:p w14:paraId="669567E1" w14:textId="77777777" w:rsidR="0084053D" w:rsidRDefault="0084053D" w:rsidP="0084053D"/>
    <w:p w14:paraId="0CBF00A0" w14:textId="77777777" w:rsidR="0084053D" w:rsidRDefault="0084053D" w:rsidP="0084053D">
      <w:pPr>
        <w:pStyle w:val="Heading1"/>
      </w:pPr>
      <w:bookmarkStart w:id="2" w:name="_Toc27566589"/>
      <w:r>
        <w:t>Eligibility</w:t>
      </w:r>
      <w:bookmarkEnd w:id="2"/>
    </w:p>
    <w:p w14:paraId="7188772C" w14:textId="77777777" w:rsidR="0084053D" w:rsidRPr="00A641F4" w:rsidRDefault="0084053D" w:rsidP="0084053D">
      <w:r>
        <w:t xml:space="preserve">Applications </w:t>
      </w:r>
      <w:r w:rsidRPr="00561A66">
        <w:t>are invited from academics</w:t>
      </w:r>
      <w:r>
        <w:t xml:space="preserve"> (from post-doctoral to professorial level)</w:t>
      </w:r>
      <w:r w:rsidRPr="00561A66">
        <w:t xml:space="preserve"> who are based at one of the </w:t>
      </w:r>
      <w:r>
        <w:t xml:space="preserve">six Grow </w:t>
      </w:r>
      <w:proofErr w:type="spellStart"/>
      <w:r>
        <w:t>MedTech</w:t>
      </w:r>
      <w:proofErr w:type="spellEnd"/>
      <w:r>
        <w:t xml:space="preserve"> </w:t>
      </w:r>
      <w:r w:rsidRPr="00561A66">
        <w:t>partner universities</w:t>
      </w:r>
      <w:r>
        <w:t xml:space="preserve"> </w:t>
      </w:r>
      <w:r w:rsidRPr="00561A66">
        <w:t>- University of Bradford, University of Huddersfield, Leeds Beckett University, University of Leeds,</w:t>
      </w:r>
      <w:r>
        <w:t xml:space="preserve"> Sheffield Hallam University</w:t>
      </w:r>
      <w:r w:rsidRPr="00561A66">
        <w:t xml:space="preserve"> </w:t>
      </w:r>
      <w:r>
        <w:t xml:space="preserve">and the </w:t>
      </w:r>
      <w:r w:rsidRPr="00561A66">
        <w:t>University of York.</w:t>
      </w:r>
      <w:r>
        <w:t xml:space="preserve"> If you are applying as a postdoctoral researcher you will need the approval and signature of your academic supervisor. </w:t>
      </w:r>
    </w:p>
    <w:p w14:paraId="1B50B571" w14:textId="77777777" w:rsidR="0084053D" w:rsidRDefault="0084053D" w:rsidP="0084053D"/>
    <w:p w14:paraId="024D7D9B" w14:textId="77777777" w:rsidR="0084053D" w:rsidRDefault="0084053D" w:rsidP="0084053D">
      <w:pPr>
        <w:pStyle w:val="Heading1"/>
      </w:pPr>
      <w:bookmarkStart w:id="3" w:name="_Toc27566590"/>
      <w:r>
        <w:t>How to apply</w:t>
      </w:r>
      <w:bookmarkEnd w:id="3"/>
    </w:p>
    <w:p w14:paraId="13834ED3" w14:textId="7F7CDB5A" w:rsidR="0084053D" w:rsidRDefault="0084053D" w:rsidP="0084053D">
      <w:r w:rsidRPr="000E1012">
        <w:t>Applications forms can be provided by and should be</w:t>
      </w:r>
      <w:r>
        <w:t xml:space="preserve"> co-developed with a Grow </w:t>
      </w:r>
      <w:proofErr w:type="spellStart"/>
      <w:r>
        <w:t>MedTech</w:t>
      </w:r>
      <w:proofErr w:type="spellEnd"/>
      <w:r>
        <w:t xml:space="preserve"> Technology Innovation Manager – for contact details please see: </w:t>
      </w:r>
      <w:hyperlink r:id="rId11" w:history="1">
        <w:r>
          <w:rPr>
            <w:rStyle w:val="Hyperlink"/>
          </w:rPr>
          <w:t>https://growmed.tech/about/#</w:t>
        </w:r>
      </w:hyperlink>
    </w:p>
    <w:p w14:paraId="2F73C2CE" w14:textId="77777777" w:rsidR="0084053D" w:rsidRDefault="0084053D" w:rsidP="0084053D">
      <w:pPr>
        <w:rPr>
          <w:b/>
        </w:rPr>
      </w:pPr>
    </w:p>
    <w:p w14:paraId="07051DA0" w14:textId="77777777" w:rsidR="0084053D" w:rsidRPr="007B6A9E" w:rsidRDefault="0084053D" w:rsidP="0084053D">
      <w:r w:rsidRPr="001363ED">
        <w:rPr>
          <w:b/>
        </w:rPr>
        <w:t xml:space="preserve">Completed Proof of Market applications forms should be emailed to </w:t>
      </w:r>
      <w:hyperlink r:id="rId12" w:history="1">
        <w:r w:rsidRPr="001363ED">
          <w:rPr>
            <w:rStyle w:val="Hyperlink"/>
          </w:rPr>
          <w:t>info@growmed.tech</w:t>
        </w:r>
      </w:hyperlink>
      <w:r w:rsidRPr="001363ED">
        <w:rPr>
          <w:b/>
          <w:color w:val="1F497D"/>
        </w:rPr>
        <w:t xml:space="preserve"> </w:t>
      </w:r>
      <w:r w:rsidRPr="001363ED">
        <w:rPr>
          <w:b/>
        </w:rPr>
        <w:t>by the 15</w:t>
      </w:r>
      <w:r w:rsidRPr="001363ED">
        <w:rPr>
          <w:b/>
          <w:vertAlign w:val="superscript"/>
        </w:rPr>
        <w:t>th</w:t>
      </w:r>
      <w:r w:rsidRPr="001363ED">
        <w:rPr>
          <w:b/>
        </w:rPr>
        <w:t xml:space="preserve"> of the month for review in that month</w:t>
      </w:r>
      <w:r>
        <w:rPr>
          <w:b/>
        </w:rPr>
        <w:t>’</w:t>
      </w:r>
      <w:r w:rsidRPr="001363ED">
        <w:rPr>
          <w:b/>
        </w:rPr>
        <w:t>s review meeting</w:t>
      </w:r>
      <w:r w:rsidRPr="002D02B5">
        <w:t>.</w:t>
      </w:r>
    </w:p>
    <w:p w14:paraId="6A4E2CDC" w14:textId="77777777" w:rsidR="0084053D" w:rsidRDefault="0084053D" w:rsidP="0084053D"/>
    <w:p w14:paraId="541BD46E" w14:textId="77777777" w:rsidR="0084053D" w:rsidRDefault="0084053D" w:rsidP="0084053D">
      <w:pPr>
        <w:pStyle w:val="Heading1"/>
      </w:pPr>
      <w:bookmarkStart w:id="4" w:name="_Toc27566591"/>
      <w:r>
        <w:t>What can be funded?</w:t>
      </w:r>
      <w:bookmarkEnd w:id="4"/>
    </w:p>
    <w:p w14:paraId="4AB15800" w14:textId="77777777" w:rsidR="0084053D" w:rsidRDefault="0084053D" w:rsidP="0084053D">
      <w:pPr>
        <w:pStyle w:val="ListParagraph"/>
        <w:numPr>
          <w:ilvl w:val="0"/>
          <w:numId w:val="5"/>
        </w:numPr>
        <w:spacing w:line="276" w:lineRule="auto"/>
        <w:jc w:val="both"/>
      </w:pPr>
      <w:r>
        <w:t>Patient, carer, and public consultation workshops to identify and validate the need for a particular project or technology</w:t>
      </w:r>
    </w:p>
    <w:p w14:paraId="1089E240" w14:textId="77777777" w:rsidR="0084053D" w:rsidRDefault="0084053D" w:rsidP="0084053D">
      <w:pPr>
        <w:pStyle w:val="ListParagraph"/>
        <w:numPr>
          <w:ilvl w:val="0"/>
          <w:numId w:val="5"/>
        </w:numPr>
        <w:spacing w:before="120" w:line="276" w:lineRule="auto"/>
        <w:jc w:val="both"/>
      </w:pPr>
      <w:r>
        <w:t>Clinical consultation workshops with clinicians and healthcare professionals to validate the need for a particular project or technology</w:t>
      </w:r>
    </w:p>
    <w:p w14:paraId="14B97A75" w14:textId="77777777" w:rsidR="0084053D" w:rsidRDefault="0084053D" w:rsidP="0084053D">
      <w:pPr>
        <w:pStyle w:val="ListParagraph"/>
        <w:numPr>
          <w:ilvl w:val="0"/>
          <w:numId w:val="5"/>
        </w:numPr>
        <w:spacing w:before="120" w:line="276" w:lineRule="auto"/>
        <w:jc w:val="both"/>
      </w:pPr>
      <w:r>
        <w:t>Consultation or technology showcase workshops with regional and national representative bodies- including clinical commissioning groups (CCGs), NHS organisations, representative networks, large charities, regional third sector organisations or potential industry partners</w:t>
      </w:r>
    </w:p>
    <w:p w14:paraId="2A9B9FBD" w14:textId="77777777" w:rsidR="0084053D" w:rsidRDefault="0084053D" w:rsidP="0084053D">
      <w:pPr>
        <w:pStyle w:val="ListParagraph"/>
        <w:numPr>
          <w:ilvl w:val="0"/>
          <w:numId w:val="5"/>
        </w:numPr>
        <w:spacing w:before="120" w:line="276" w:lineRule="auto"/>
        <w:jc w:val="both"/>
      </w:pPr>
      <w:r>
        <w:t>Developing technology road maps and routes to commercialisation</w:t>
      </w:r>
    </w:p>
    <w:p w14:paraId="2F4BE935" w14:textId="77777777" w:rsidR="0084053D" w:rsidRDefault="0084053D" w:rsidP="0084053D">
      <w:pPr>
        <w:pStyle w:val="ListParagraph"/>
        <w:numPr>
          <w:ilvl w:val="0"/>
          <w:numId w:val="5"/>
        </w:numPr>
        <w:spacing w:before="120" w:line="276" w:lineRule="auto"/>
        <w:jc w:val="both"/>
      </w:pPr>
      <w:r>
        <w:t>Market, opportunity and competitor analysis</w:t>
      </w:r>
    </w:p>
    <w:p w14:paraId="0E3E5E0A" w14:textId="77777777" w:rsidR="0084053D" w:rsidRDefault="0084053D" w:rsidP="0084053D">
      <w:pPr>
        <w:pStyle w:val="ListParagraph"/>
        <w:numPr>
          <w:ilvl w:val="0"/>
          <w:numId w:val="5"/>
        </w:numPr>
        <w:spacing w:before="120" w:line="276" w:lineRule="auto"/>
        <w:jc w:val="both"/>
      </w:pPr>
      <w:r>
        <w:t>IP landscaping and advice on IP protection</w:t>
      </w:r>
    </w:p>
    <w:p w14:paraId="09AA5990" w14:textId="77777777" w:rsidR="0084053D" w:rsidRDefault="0084053D" w:rsidP="0084053D">
      <w:pPr>
        <w:pStyle w:val="ListParagraph"/>
        <w:numPr>
          <w:ilvl w:val="0"/>
          <w:numId w:val="5"/>
        </w:numPr>
        <w:spacing w:before="120" w:line="276" w:lineRule="auto"/>
        <w:jc w:val="both"/>
      </w:pPr>
      <w:r>
        <w:t>Regulatory pathway guidance</w:t>
      </w:r>
    </w:p>
    <w:p w14:paraId="673A9811" w14:textId="77777777" w:rsidR="0084053D" w:rsidRPr="001363ED" w:rsidRDefault="0084053D" w:rsidP="0084053D">
      <w:pPr>
        <w:pStyle w:val="Heading1"/>
      </w:pPr>
      <w:bookmarkStart w:id="5" w:name="_Toc27566592"/>
      <w:r w:rsidRPr="001363ED">
        <w:lastRenderedPageBreak/>
        <w:t>What will not be funded?</w:t>
      </w:r>
      <w:bookmarkEnd w:id="5"/>
    </w:p>
    <w:p w14:paraId="4DE8AB34" w14:textId="77777777" w:rsidR="0084053D" w:rsidRDefault="0084053D" w:rsidP="0084053D">
      <w:pPr>
        <w:pStyle w:val="ListParagraph"/>
        <w:numPr>
          <w:ilvl w:val="0"/>
          <w:numId w:val="8"/>
        </w:numPr>
        <w:spacing w:before="120" w:line="276" w:lineRule="auto"/>
        <w:jc w:val="both"/>
      </w:pPr>
      <w:r>
        <w:t>Staff costs will not normally be supported</w:t>
      </w:r>
    </w:p>
    <w:p w14:paraId="71FCBA5C" w14:textId="77777777" w:rsidR="0084053D" w:rsidRPr="000E1012" w:rsidRDefault="0084053D" w:rsidP="0084053D">
      <w:pPr>
        <w:pStyle w:val="ListParagraph"/>
        <w:numPr>
          <w:ilvl w:val="0"/>
          <w:numId w:val="8"/>
        </w:numPr>
        <w:spacing w:before="120" w:line="276" w:lineRule="auto"/>
        <w:jc w:val="both"/>
      </w:pPr>
      <w:r w:rsidRPr="000E1012">
        <w:rPr>
          <w:rFonts w:eastAsiaTheme="minorEastAsia" w:cstheme="minorHAnsi"/>
          <w:szCs w:val="22"/>
        </w:rPr>
        <w:t>Funding for conference attendance</w:t>
      </w:r>
    </w:p>
    <w:p w14:paraId="07865EC6" w14:textId="77777777" w:rsidR="0084053D" w:rsidRPr="00583569" w:rsidRDefault="0084053D" w:rsidP="0084053D">
      <w:pPr>
        <w:pStyle w:val="ListParagraph"/>
        <w:numPr>
          <w:ilvl w:val="0"/>
          <w:numId w:val="8"/>
        </w:numPr>
        <w:spacing w:before="120" w:line="276" w:lineRule="auto"/>
        <w:jc w:val="both"/>
      </w:pPr>
      <w:r w:rsidRPr="009E69F1">
        <w:t>Support for intellectual property protection, exploitation or freedom to operate reviews.  It is envisaged that as the respective institutions and/or their partners will own the IP generated through this process, that they will provide the required IP support as pa</w:t>
      </w:r>
      <w:r>
        <w:t>rt of the co-investment process</w:t>
      </w:r>
    </w:p>
    <w:p w14:paraId="48EE9571" w14:textId="77777777" w:rsidR="0084053D" w:rsidRDefault="0084053D" w:rsidP="0084053D">
      <w:pPr>
        <w:pStyle w:val="ListParagraph"/>
        <w:numPr>
          <w:ilvl w:val="0"/>
          <w:numId w:val="8"/>
        </w:numPr>
        <w:spacing w:before="120" w:line="276" w:lineRule="auto"/>
        <w:jc w:val="both"/>
      </w:pPr>
      <w:r>
        <w:t xml:space="preserve">Development of new drug and pharmaceuticals is outside the scope of Grow </w:t>
      </w:r>
      <w:proofErr w:type="spellStart"/>
      <w:r>
        <w:t>MedTech</w:t>
      </w:r>
      <w:proofErr w:type="spellEnd"/>
      <w:r>
        <w:t xml:space="preserve"> and will not be supported.</w:t>
      </w:r>
    </w:p>
    <w:p w14:paraId="03E7DCC8" w14:textId="77777777" w:rsidR="0084053D" w:rsidRDefault="0084053D" w:rsidP="0084053D">
      <w:pPr>
        <w:pStyle w:val="ListParagraph"/>
        <w:numPr>
          <w:ilvl w:val="0"/>
          <w:numId w:val="8"/>
        </w:numPr>
        <w:spacing w:before="120" w:line="276" w:lineRule="auto"/>
        <w:jc w:val="both"/>
      </w:pPr>
      <w:r w:rsidRPr="00A12CC5">
        <w:t xml:space="preserve">This call does not directly fund industry/commercial organisations. However, proposals from University partners which demonstrate evidence of an industry-defined market need and projects with industry partner contribution are encouraged. Strong links with clinical or healthcare workers is also strongly encouraged. Grow </w:t>
      </w:r>
      <w:proofErr w:type="spellStart"/>
      <w:r w:rsidRPr="00A12CC5">
        <w:t>MedTech</w:t>
      </w:r>
      <w:proofErr w:type="spellEnd"/>
      <w:r w:rsidRPr="00A12CC5">
        <w:t xml:space="preserve"> can provide a brokerage</w:t>
      </w:r>
      <w:r>
        <w:t xml:space="preserve"> role to strategically match researchers with companies and clinical partners for industry/clinical driven projects.</w:t>
      </w:r>
    </w:p>
    <w:p w14:paraId="710D9821" w14:textId="77777777" w:rsidR="0084053D" w:rsidRDefault="0084053D" w:rsidP="0084053D"/>
    <w:p w14:paraId="31922206" w14:textId="77777777" w:rsidR="0084053D" w:rsidRDefault="0084053D" w:rsidP="0084053D">
      <w:pPr>
        <w:pStyle w:val="Heading1"/>
      </w:pPr>
      <w:bookmarkStart w:id="6" w:name="_Toc27566593"/>
      <w:r>
        <w:t>How will my application be assessed?</w:t>
      </w:r>
      <w:bookmarkEnd w:id="6"/>
    </w:p>
    <w:p w14:paraId="26578402" w14:textId="77777777" w:rsidR="0084053D" w:rsidRDefault="0084053D" w:rsidP="0084053D">
      <w:r>
        <w:t xml:space="preserve">Applications will be reviewed by the Grow </w:t>
      </w:r>
      <w:proofErr w:type="spellStart"/>
      <w:r>
        <w:t>MedTech</w:t>
      </w:r>
      <w:proofErr w:type="spellEnd"/>
      <w:r>
        <w:t xml:space="preserve"> Innovation Management team on a monthly basis and will be assessed on:</w:t>
      </w:r>
    </w:p>
    <w:p w14:paraId="0670043E" w14:textId="77777777" w:rsidR="0084053D" w:rsidRDefault="0084053D" w:rsidP="0084053D">
      <w:pPr>
        <w:pStyle w:val="ListParagraph"/>
        <w:numPr>
          <w:ilvl w:val="0"/>
          <w:numId w:val="6"/>
        </w:numPr>
        <w:spacing w:before="120" w:line="276" w:lineRule="auto"/>
        <w:jc w:val="both"/>
      </w:pPr>
      <w:r>
        <w:t xml:space="preserve">Scope in relation to Grow </w:t>
      </w:r>
      <w:proofErr w:type="spellStart"/>
      <w:r>
        <w:t>MedTech</w:t>
      </w:r>
      <w:proofErr w:type="spellEnd"/>
    </w:p>
    <w:p w14:paraId="125F64E4" w14:textId="77777777" w:rsidR="0084053D" w:rsidRDefault="0084053D" w:rsidP="0084053D">
      <w:pPr>
        <w:pStyle w:val="ListParagraph"/>
        <w:numPr>
          <w:ilvl w:val="0"/>
          <w:numId w:val="6"/>
        </w:numPr>
        <w:spacing w:before="120" w:line="276" w:lineRule="auto"/>
        <w:jc w:val="both"/>
      </w:pPr>
      <w:r>
        <w:t>Quality of Proposal</w:t>
      </w:r>
    </w:p>
    <w:p w14:paraId="70AE324D" w14:textId="77777777" w:rsidR="0084053D" w:rsidRDefault="0084053D" w:rsidP="0084053D">
      <w:pPr>
        <w:pStyle w:val="ListParagraph"/>
        <w:numPr>
          <w:ilvl w:val="0"/>
          <w:numId w:val="6"/>
        </w:numPr>
        <w:spacing w:before="120" w:line="276" w:lineRule="auto"/>
        <w:jc w:val="both"/>
      </w:pPr>
      <w:r>
        <w:t>Realistic and achievable plan of work and objectives (including PPI activities)</w:t>
      </w:r>
    </w:p>
    <w:p w14:paraId="65CCAC01" w14:textId="77777777" w:rsidR="0084053D" w:rsidRPr="00583569" w:rsidRDefault="0084053D" w:rsidP="0084053D">
      <w:pPr>
        <w:pStyle w:val="ListParagraph"/>
        <w:numPr>
          <w:ilvl w:val="0"/>
          <w:numId w:val="6"/>
        </w:numPr>
        <w:spacing w:before="120" w:line="276" w:lineRule="auto"/>
        <w:jc w:val="both"/>
      </w:pPr>
      <w:r>
        <w:t>Potential to m</w:t>
      </w:r>
      <w:r w:rsidRPr="00583569">
        <w:t>eet a clinical need/potential for patient benefit</w:t>
      </w:r>
    </w:p>
    <w:p w14:paraId="77EFA243" w14:textId="77777777" w:rsidR="0084053D" w:rsidRPr="00583569" w:rsidRDefault="0084053D" w:rsidP="0084053D">
      <w:pPr>
        <w:pStyle w:val="ListParagraph"/>
        <w:numPr>
          <w:ilvl w:val="0"/>
          <w:numId w:val="6"/>
        </w:numPr>
        <w:spacing w:before="120" w:line="276" w:lineRule="auto"/>
        <w:jc w:val="both"/>
      </w:pPr>
      <w:r>
        <w:t xml:space="preserve">Potential </w:t>
      </w:r>
      <w:r w:rsidRPr="00583569">
        <w:t>Commercial opportunity</w:t>
      </w:r>
    </w:p>
    <w:p w14:paraId="3F30E6DE" w14:textId="77777777" w:rsidR="0084053D" w:rsidRPr="00583569" w:rsidRDefault="0084053D" w:rsidP="0084053D">
      <w:pPr>
        <w:pStyle w:val="ListParagraph"/>
        <w:numPr>
          <w:ilvl w:val="0"/>
          <w:numId w:val="6"/>
        </w:numPr>
        <w:spacing w:before="120" w:line="276" w:lineRule="auto"/>
        <w:jc w:val="both"/>
      </w:pPr>
      <w:r w:rsidRPr="00583569">
        <w:t>Realistic follow-on plan</w:t>
      </w:r>
    </w:p>
    <w:p w14:paraId="5215964F" w14:textId="77777777" w:rsidR="0084053D" w:rsidRPr="001363ED" w:rsidRDefault="0084053D" w:rsidP="0084053D">
      <w:pPr>
        <w:pStyle w:val="ListParagraph"/>
        <w:numPr>
          <w:ilvl w:val="0"/>
          <w:numId w:val="6"/>
        </w:numPr>
        <w:spacing w:before="120" w:line="276" w:lineRule="auto"/>
        <w:jc w:val="both"/>
        <w:rPr>
          <w:szCs w:val="22"/>
        </w:rPr>
      </w:pPr>
      <w:r w:rsidRPr="001363ED">
        <w:rPr>
          <w:szCs w:val="22"/>
        </w:rPr>
        <w:t>Development of new collaborations</w:t>
      </w:r>
    </w:p>
    <w:p w14:paraId="21342F5D" w14:textId="77777777" w:rsidR="0084053D" w:rsidRDefault="0084053D" w:rsidP="0084053D">
      <w:pPr>
        <w:pStyle w:val="ListParagraph"/>
        <w:numPr>
          <w:ilvl w:val="0"/>
          <w:numId w:val="6"/>
        </w:numPr>
        <w:spacing w:before="120" w:line="276" w:lineRule="auto"/>
        <w:jc w:val="both"/>
        <w:rPr>
          <w:szCs w:val="22"/>
        </w:rPr>
      </w:pPr>
      <w:r w:rsidRPr="001363ED">
        <w:rPr>
          <w:szCs w:val="22"/>
        </w:rPr>
        <w:t>Ability of the project team to deliver</w:t>
      </w:r>
    </w:p>
    <w:p w14:paraId="6A09D461" w14:textId="77777777" w:rsidR="0084053D" w:rsidRPr="001363ED" w:rsidRDefault="0084053D" w:rsidP="0084053D">
      <w:pPr>
        <w:pStyle w:val="ListParagraph"/>
        <w:rPr>
          <w:szCs w:val="22"/>
        </w:rPr>
      </w:pPr>
    </w:p>
    <w:p w14:paraId="16258607" w14:textId="77777777" w:rsidR="0084053D" w:rsidRPr="00151FBE" w:rsidRDefault="0084053D" w:rsidP="0084053D">
      <w:r w:rsidRPr="00151FBE">
        <w:t xml:space="preserve">Some </w:t>
      </w:r>
      <w:r>
        <w:t xml:space="preserve">additional </w:t>
      </w:r>
      <w:r w:rsidRPr="00151FBE">
        <w:t>things to think about:</w:t>
      </w:r>
    </w:p>
    <w:p w14:paraId="38936687" w14:textId="77777777" w:rsidR="0084053D" w:rsidRPr="00151FBE" w:rsidRDefault="0084053D" w:rsidP="0084053D">
      <w:pPr>
        <w:pStyle w:val="ListParagraph"/>
        <w:numPr>
          <w:ilvl w:val="0"/>
          <w:numId w:val="7"/>
        </w:numPr>
        <w:spacing w:before="120" w:line="276" w:lineRule="auto"/>
        <w:jc w:val="both"/>
      </w:pPr>
      <w:r w:rsidRPr="00151FBE">
        <w:t>Include details on the maturity of any research/technology/intervention</w:t>
      </w:r>
      <w:r>
        <w:t xml:space="preserve"> </w:t>
      </w:r>
      <w:r w:rsidRPr="00151FBE">
        <w:t>under development, the translational aspects, clinical impact, the patient</w:t>
      </w:r>
      <w:r>
        <w:t xml:space="preserve"> </w:t>
      </w:r>
      <w:r w:rsidRPr="00151FBE">
        <w:t>benefit and the impact of healthcare provision</w:t>
      </w:r>
      <w:r>
        <w:t xml:space="preserve"> if known</w:t>
      </w:r>
    </w:p>
    <w:p w14:paraId="09D1146D" w14:textId="77777777" w:rsidR="0084053D" w:rsidRDefault="0084053D" w:rsidP="0084053D">
      <w:pPr>
        <w:pStyle w:val="ListParagraph"/>
        <w:numPr>
          <w:ilvl w:val="0"/>
          <w:numId w:val="7"/>
        </w:numPr>
        <w:spacing w:before="120" w:line="276" w:lineRule="auto"/>
        <w:jc w:val="both"/>
      </w:pPr>
      <w:r w:rsidRPr="00151FBE">
        <w:t>Has there been any industry support/interaction for this project, if not</w:t>
      </w:r>
      <w:r>
        <w:t xml:space="preserve"> </w:t>
      </w:r>
      <w:r w:rsidRPr="00151FBE">
        <w:t xml:space="preserve">then future plans for engaging with industry </w:t>
      </w:r>
    </w:p>
    <w:p w14:paraId="350942BC" w14:textId="77777777" w:rsidR="0084053D" w:rsidRDefault="0084053D" w:rsidP="0084053D"/>
    <w:p w14:paraId="3F51F56C" w14:textId="77777777" w:rsidR="0084053D" w:rsidRDefault="0084053D" w:rsidP="0084053D">
      <w:r w:rsidRPr="00185168">
        <w:t xml:space="preserve">Applicants will receive feedback and </w:t>
      </w:r>
      <w:r>
        <w:t xml:space="preserve">be </w:t>
      </w:r>
      <w:r w:rsidRPr="00185168">
        <w:t>informed of the award outcome within a month of submission unless otherwise stated.</w:t>
      </w:r>
    </w:p>
    <w:p w14:paraId="464102E1" w14:textId="77777777" w:rsidR="0084053D" w:rsidRPr="00185168" w:rsidRDefault="0084053D" w:rsidP="0084053D"/>
    <w:p w14:paraId="471858FD" w14:textId="77777777" w:rsidR="0084053D" w:rsidRPr="00442D25" w:rsidRDefault="0084053D" w:rsidP="0084053D">
      <w:r w:rsidRPr="000E1012">
        <w:t xml:space="preserve">Following approval a Grow </w:t>
      </w:r>
      <w:proofErr w:type="spellStart"/>
      <w:r w:rsidRPr="000E1012">
        <w:t>MedTech</w:t>
      </w:r>
      <w:proofErr w:type="spellEnd"/>
      <w:r w:rsidRPr="000E1012">
        <w:t xml:space="preserve"> Technology Innovation Manager </w:t>
      </w:r>
      <w:r>
        <w:t xml:space="preserve">will </w:t>
      </w:r>
      <w:r w:rsidRPr="000E1012">
        <w:t>work with successful applicants throughout the life of the project to ensure it delivers to time and on budget.</w:t>
      </w:r>
      <w:r w:rsidRPr="00442D25">
        <w:t xml:space="preserve">  </w:t>
      </w:r>
    </w:p>
    <w:p w14:paraId="7A5C3281" w14:textId="77777777" w:rsidR="0084053D" w:rsidRDefault="0084053D" w:rsidP="0084053D">
      <w:pPr>
        <w:pStyle w:val="Heading1"/>
      </w:pPr>
      <w:bookmarkStart w:id="7" w:name="_Toc27566594"/>
      <w:r>
        <w:t>Key dates</w:t>
      </w:r>
      <w:bookmarkEnd w:id="7"/>
    </w:p>
    <w:p w14:paraId="308925A7" w14:textId="77777777" w:rsidR="0084053D" w:rsidRPr="00F323D3" w:rsidRDefault="0084053D" w:rsidP="0084053D">
      <w:r w:rsidRPr="00F323D3">
        <w:t xml:space="preserve">Completed Proof of Market application forms should be emailed to </w:t>
      </w:r>
      <w:hyperlink r:id="rId13" w:history="1">
        <w:r w:rsidRPr="00F323D3">
          <w:rPr>
            <w:rStyle w:val="Hyperlink"/>
          </w:rPr>
          <w:t>info@growmed.tech</w:t>
        </w:r>
      </w:hyperlink>
      <w:r w:rsidRPr="00F323D3">
        <w:rPr>
          <w:color w:val="1F497D"/>
        </w:rPr>
        <w:t xml:space="preserve"> </w:t>
      </w:r>
      <w:r w:rsidRPr="00F323D3">
        <w:t>by the 15</w:t>
      </w:r>
      <w:r w:rsidRPr="00F323D3">
        <w:rPr>
          <w:vertAlign w:val="superscript"/>
        </w:rPr>
        <w:t>th</w:t>
      </w:r>
      <w:r w:rsidRPr="00F323D3">
        <w:t xml:space="preserve"> of the month for review in that month’s review meeting.</w:t>
      </w:r>
    </w:p>
    <w:p w14:paraId="18764526" w14:textId="05F8E0BD" w:rsidR="0084053D" w:rsidRDefault="0084053D" w:rsidP="0084053D"/>
    <w:sectPr w:rsidR="0084053D" w:rsidSect="0084053D">
      <w:headerReference w:type="default" r:id="rId14"/>
      <w:footerReference w:type="default" r:id="rId15"/>
      <w:pgSz w:w="11905" w:h="16837"/>
      <w:pgMar w:top="1560" w:right="510" w:bottom="510" w:left="51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24DB5" w14:textId="77777777" w:rsidR="007D797B" w:rsidRDefault="007D797B" w:rsidP="00BC794A">
      <w:r>
        <w:separator/>
      </w:r>
    </w:p>
  </w:endnote>
  <w:endnote w:type="continuationSeparator" w:id="0">
    <w:p w14:paraId="57E3567A" w14:textId="77777777" w:rsidR="007D797B" w:rsidRDefault="007D797B" w:rsidP="00BC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8ADD6" w14:textId="748706CB" w:rsidR="007D797B" w:rsidRDefault="00DE3F1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69493B9F" wp14:editId="68E0A817">
          <wp:simplePos x="0" y="0"/>
          <wp:positionH relativeFrom="column">
            <wp:posOffset>3457575</wp:posOffset>
          </wp:positionH>
          <wp:positionV relativeFrom="paragraph">
            <wp:posOffset>-528955</wp:posOffset>
          </wp:positionV>
          <wp:extent cx="762000" cy="384740"/>
          <wp:effectExtent l="0" t="0" r="0" b="0"/>
          <wp:wrapNone/>
          <wp:docPr id="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54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384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4B8A7A2" wp14:editId="61A16ACC">
              <wp:simplePos x="0" y="0"/>
              <wp:positionH relativeFrom="column">
                <wp:posOffset>3514725</wp:posOffset>
              </wp:positionH>
              <wp:positionV relativeFrom="paragraph">
                <wp:posOffset>-548640</wp:posOffset>
              </wp:positionV>
              <wp:extent cx="695325" cy="409575"/>
              <wp:effectExtent l="0" t="0" r="28575" b="285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5325" cy="4095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4B4C78" id="Rectangle 1" o:spid="_x0000_s1026" style="position:absolute;margin-left:276.75pt;margin-top:-43.2pt;width:54.75pt;height:3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" fillcolor="white [3212]" strokecolor="white [3212]" strokeweight="1pt"/>
          </w:pict>
        </mc:Fallback>
      </mc:AlternateContent>
    </w:r>
    <w:r w:rsidR="00527778">
      <w:rPr>
        <w:noProof/>
      </w:rPr>
      <w:pict w14:anchorId="35D7D6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6385" type="#_x0000_t75" style="position:absolute;margin-left:4.5pt;margin-top:-41.55pt;width:82.5pt;height:26.25pt;z-index:251663360;mso-position-horizontal-relative:text;mso-position-vertical-relative:text;mso-width-relative:page;mso-height-relative:page">
          <v:imagedata r:id="rId3" o:title="UKRI_RE-Logo_Horiz-RGB"/>
          <w10:wrap type="square"/>
        </v:shape>
      </w:pict>
    </w:r>
    <w:r w:rsidR="007D797B">
      <w:rPr>
        <w:noProof/>
        <w:lang w:eastAsia="en-GB"/>
      </w:rPr>
      <w:drawing>
        <wp:anchor distT="215900" distB="0" distL="114300" distR="114300" simplePos="0" relativeHeight="251661312" behindDoc="0" locked="0" layoutInCell="1" allowOverlap="0" wp14:anchorId="2D123EED" wp14:editId="3004CB96">
          <wp:simplePos x="0" y="0"/>
          <wp:positionH relativeFrom="margin">
            <wp:align>right</wp:align>
          </wp:positionH>
          <wp:positionV relativeFrom="margin">
            <wp:align>bottom</wp:align>
          </wp:positionV>
          <wp:extent cx="5461200" cy="316800"/>
          <wp:effectExtent l="0" t="0" r="0" b="1270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iversity logos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12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F5EC6" w14:textId="77777777" w:rsidR="007D797B" w:rsidRDefault="007D797B" w:rsidP="00BC794A">
      <w:r>
        <w:separator/>
      </w:r>
    </w:p>
  </w:footnote>
  <w:footnote w:type="continuationSeparator" w:id="0">
    <w:p w14:paraId="38D33E25" w14:textId="77777777" w:rsidR="007D797B" w:rsidRDefault="007D797B" w:rsidP="00BC7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63B83" w14:textId="6CFC48A7" w:rsidR="007D797B" w:rsidRDefault="0084053D">
    <w:pPr>
      <w:pStyle w:val="Header"/>
    </w:pPr>
    <w:r w:rsidRPr="0084053D"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41DB1E43" wp14:editId="5C51B17B">
          <wp:simplePos x="0" y="0"/>
          <wp:positionH relativeFrom="margin">
            <wp:align>right</wp:align>
          </wp:positionH>
          <wp:positionV relativeFrom="paragraph">
            <wp:posOffset>208280</wp:posOffset>
          </wp:positionV>
          <wp:extent cx="715010" cy="647700"/>
          <wp:effectExtent l="0" t="0" r="8890" b="0"/>
          <wp:wrapSquare wrapText="bothSides"/>
          <wp:docPr id="5" name="Picture 5" descr="C:\Users\mendm\Downloads\Proof of mark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ndm\Downloads\Proof of mark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864235" distL="114300" distR="114300" simplePos="0" relativeHeight="251658240" behindDoc="0" locked="0" layoutInCell="1" allowOverlap="1" wp14:anchorId="3FD64C04" wp14:editId="257C13AC">
          <wp:simplePos x="0" y="0"/>
          <wp:positionH relativeFrom="margin">
            <wp:align>left</wp:align>
          </wp:positionH>
          <wp:positionV relativeFrom="margin">
            <wp:posOffset>-721995</wp:posOffset>
          </wp:positionV>
          <wp:extent cx="928800" cy="608400"/>
          <wp:effectExtent l="0" t="0" r="5080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OW Logo Colou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8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61B9"/>
    <w:multiLevelType w:val="hybridMultilevel"/>
    <w:tmpl w:val="03D8B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9EE076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4DA0"/>
    <w:multiLevelType w:val="hybridMultilevel"/>
    <w:tmpl w:val="5A8E4BB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04DC"/>
    <w:multiLevelType w:val="hybridMultilevel"/>
    <w:tmpl w:val="4E86D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C1003"/>
    <w:multiLevelType w:val="hybridMultilevel"/>
    <w:tmpl w:val="D6CA9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A249B"/>
    <w:multiLevelType w:val="hybridMultilevel"/>
    <w:tmpl w:val="1610D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570CE"/>
    <w:multiLevelType w:val="hybridMultilevel"/>
    <w:tmpl w:val="AC0CD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97A2B"/>
    <w:multiLevelType w:val="hybridMultilevel"/>
    <w:tmpl w:val="3B64C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32B42"/>
    <w:multiLevelType w:val="hybridMultilevel"/>
    <w:tmpl w:val="9F0AB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6386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4A"/>
    <w:rsid w:val="00005B7B"/>
    <w:rsid w:val="0002272F"/>
    <w:rsid w:val="000B76B0"/>
    <w:rsid w:val="00254625"/>
    <w:rsid w:val="002A0C58"/>
    <w:rsid w:val="00301AFF"/>
    <w:rsid w:val="00334C3F"/>
    <w:rsid w:val="003E6415"/>
    <w:rsid w:val="00527778"/>
    <w:rsid w:val="005363A4"/>
    <w:rsid w:val="006531A9"/>
    <w:rsid w:val="006E42A5"/>
    <w:rsid w:val="007264FB"/>
    <w:rsid w:val="007C5D3A"/>
    <w:rsid w:val="007D797B"/>
    <w:rsid w:val="0084053D"/>
    <w:rsid w:val="009C01B8"/>
    <w:rsid w:val="00A7250A"/>
    <w:rsid w:val="00AD177A"/>
    <w:rsid w:val="00B701BC"/>
    <w:rsid w:val="00B81E82"/>
    <w:rsid w:val="00BC794A"/>
    <w:rsid w:val="00DE3F1F"/>
    <w:rsid w:val="00E04349"/>
    <w:rsid w:val="00F00BAA"/>
    <w:rsid w:val="00F144C5"/>
    <w:rsid w:val="00F71E27"/>
    <w:rsid w:val="00F8225D"/>
    <w:rsid w:val="00F8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  <w14:docId w14:val="669F45D8"/>
  <w14:defaultImageDpi w14:val="32767"/>
  <w15:chartTrackingRefBased/>
  <w15:docId w15:val="{B78C82A7-ABBB-9446-81A6-58BC531D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1A9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AFF"/>
    <w:pPr>
      <w:keepNext/>
      <w:keepLines/>
      <w:spacing w:before="240"/>
      <w:outlineLvl w:val="0"/>
    </w:pPr>
    <w:rPr>
      <w:rFonts w:ascii="Consolas" w:eastAsiaTheme="majorEastAsia" w:hAnsi="Consolas" w:cstheme="majorBidi"/>
      <w:b/>
      <w:color w:val="412F61" w:themeColor="accent4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AFF"/>
    <w:pPr>
      <w:keepNext/>
      <w:keepLines/>
      <w:spacing w:before="40"/>
      <w:outlineLvl w:val="1"/>
    </w:pPr>
    <w:rPr>
      <w:rFonts w:ascii="Consolas" w:eastAsiaTheme="majorEastAsia" w:hAnsi="Consolas" w:cstheme="majorBidi"/>
      <w:b/>
      <w:color w:val="009E8F" w:themeColor="accent5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0BAA"/>
    <w:pPr>
      <w:keepNext/>
      <w:keepLines/>
      <w:spacing w:before="40"/>
      <w:outlineLvl w:val="2"/>
    </w:pPr>
    <w:rPr>
      <w:rFonts w:ascii="Consolas" w:eastAsiaTheme="majorEastAsia" w:hAnsi="Consolas" w:cstheme="majorBidi"/>
      <w:color w:val="0D0A19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79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94A"/>
  </w:style>
  <w:style w:type="paragraph" w:styleId="Footer">
    <w:name w:val="footer"/>
    <w:basedOn w:val="Normal"/>
    <w:link w:val="FooterChar"/>
    <w:uiPriority w:val="99"/>
    <w:unhideWhenUsed/>
    <w:rsid w:val="00BC79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94A"/>
  </w:style>
  <w:style w:type="paragraph" w:styleId="Title">
    <w:name w:val="Title"/>
    <w:basedOn w:val="Normal"/>
    <w:next w:val="Normal"/>
    <w:link w:val="TitleChar"/>
    <w:uiPriority w:val="10"/>
    <w:qFormat/>
    <w:rsid w:val="00301AFF"/>
    <w:pPr>
      <w:contextualSpacing/>
    </w:pPr>
    <w:rPr>
      <w:rFonts w:ascii="Consolas" w:eastAsiaTheme="majorEastAsia" w:hAnsi="Consolas" w:cstheme="majorBidi"/>
      <w:b/>
      <w:color w:val="1B1534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AFF"/>
    <w:rPr>
      <w:rFonts w:ascii="Consolas" w:eastAsiaTheme="majorEastAsia" w:hAnsi="Consolas" w:cstheme="majorBidi"/>
      <w:b/>
      <w:color w:val="1B1534" w:themeColor="text2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01AFF"/>
    <w:rPr>
      <w:rFonts w:ascii="Consolas" w:eastAsiaTheme="majorEastAsia" w:hAnsi="Consolas" w:cstheme="majorBidi"/>
      <w:b/>
      <w:color w:val="412F61" w:themeColor="accent4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1AFF"/>
    <w:rPr>
      <w:rFonts w:ascii="Consolas" w:eastAsiaTheme="majorEastAsia" w:hAnsi="Consolas" w:cstheme="majorBidi"/>
      <w:b/>
      <w:color w:val="009E8F" w:themeColor="accent5"/>
      <w:szCs w:val="26"/>
    </w:rPr>
  </w:style>
  <w:style w:type="character" w:styleId="Strong">
    <w:name w:val="Strong"/>
    <w:basedOn w:val="DefaultParagraphFont"/>
    <w:uiPriority w:val="22"/>
    <w:qFormat/>
    <w:rsid w:val="00B81E82"/>
    <w:rPr>
      <w:b/>
      <w:bCs/>
    </w:rPr>
  </w:style>
  <w:style w:type="paragraph" w:styleId="ListParagraph">
    <w:name w:val="List Paragraph"/>
    <w:basedOn w:val="Normal"/>
    <w:uiPriority w:val="34"/>
    <w:qFormat/>
    <w:rsid w:val="00B81E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E82"/>
    <w:rPr>
      <w:color w:val="009E8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00BAA"/>
    <w:rPr>
      <w:rFonts w:ascii="Consolas" w:eastAsiaTheme="majorEastAsia" w:hAnsi="Consolas" w:cstheme="majorBidi"/>
      <w:color w:val="0D0A19" w:themeColor="accent1" w:themeShade="7F"/>
    </w:rPr>
  </w:style>
  <w:style w:type="table" w:styleId="TableGridLight">
    <w:name w:val="Grid Table Light"/>
    <w:basedOn w:val="TableNormal"/>
    <w:uiPriority w:val="40"/>
    <w:rsid w:val="00005B7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05B7B"/>
    <w:rPr>
      <w:color w:val="C1FF33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84053D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4053D"/>
    <w:pPr>
      <w:spacing w:after="100"/>
      <w:jc w:val="both"/>
    </w:pPr>
    <w:rPr>
      <w:color w:val="1B1534" w:themeColor="text2"/>
    </w:rPr>
  </w:style>
  <w:style w:type="paragraph" w:styleId="NormalWeb">
    <w:name w:val="Normal (Web)"/>
    <w:basedOn w:val="Normal"/>
    <w:uiPriority w:val="99"/>
    <w:semiHidden/>
    <w:unhideWhenUsed/>
    <w:rsid w:val="0084053D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1B1534" w:themeColor="text2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3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growmed.tec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growmed.tec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rowmed.tech/about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microsoft.com/office/2007/relationships/hdphoto" Target="media/hdphoto1.wdp"/><Relationship Id="rId1" Type="http://schemas.openxmlformats.org/officeDocument/2006/relationships/image" Target="media/image4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UOL Colours">
      <a:dk1>
        <a:srgbClr val="000000"/>
      </a:dk1>
      <a:lt1>
        <a:srgbClr val="FFFFFF"/>
      </a:lt1>
      <a:dk2>
        <a:srgbClr val="1B1534"/>
      </a:dk2>
      <a:lt2>
        <a:srgbClr val="FFFEFE"/>
      </a:lt2>
      <a:accent1>
        <a:srgbClr val="1B1534"/>
      </a:accent1>
      <a:accent2>
        <a:srgbClr val="C2FF34"/>
      </a:accent2>
      <a:accent3>
        <a:srgbClr val="E2EEF5"/>
      </a:accent3>
      <a:accent4>
        <a:srgbClr val="412F61"/>
      </a:accent4>
      <a:accent5>
        <a:srgbClr val="009E8F"/>
      </a:accent5>
      <a:accent6>
        <a:srgbClr val="7FCEC7"/>
      </a:accent6>
      <a:hlink>
        <a:srgbClr val="009E8F"/>
      </a:hlink>
      <a:folHlink>
        <a:srgbClr val="C1FF3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BC292243D444BAF4B72B0540015F2" ma:contentTypeVersion="11" ma:contentTypeDescription="Create a new document." ma:contentTypeScope="" ma:versionID="8edaf3ce04c5d086a4a49d63bf63a2dd">
  <xsd:schema xmlns:xsd="http://www.w3.org/2001/XMLSchema" xmlns:xs="http://www.w3.org/2001/XMLSchema" xmlns:p="http://schemas.microsoft.com/office/2006/metadata/properties" xmlns:ns2="cf8cc861-5e8f-4431-98f8-1fd4649d15f0" xmlns:ns3="eb1d6023-d25d-4b2a-b67b-369530fbc9de" targetNamespace="http://schemas.microsoft.com/office/2006/metadata/properties" ma:root="true" ma:fieldsID="d713f02cf72cfd3212d66dd4feea3683" ns2:_="" ns3:_="">
    <xsd:import namespace="cf8cc861-5e8f-4431-98f8-1fd4649d15f0"/>
    <xsd:import namespace="eb1d6023-d25d-4b2a-b67b-369530fbc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cc861-5e8f-4431-98f8-1fd4649d1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d6023-d25d-4b2a-b67b-369530fbc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E1306F-D218-4191-B882-ACCDD35EE504}">
  <ds:schemaRefs>
    <ds:schemaRef ds:uri="http://schemas.microsoft.com/office/2006/documentManagement/types"/>
    <ds:schemaRef ds:uri="http://www.w3.org/XML/1998/namespace"/>
    <ds:schemaRef ds:uri="http://purl.org/dc/terms/"/>
    <ds:schemaRef ds:uri="eb1d6023-d25d-4b2a-b67b-369530fbc9d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f8cc861-5e8f-4431-98f8-1fd4649d15f0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7A46BB-6BAD-4596-8486-97E9536CE6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07F294-D700-4A65-92DF-1A9426AE6B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Wilson</dc:creator>
  <cp:keywords/>
  <dc:description/>
  <cp:lastModifiedBy>Danielle Miles</cp:lastModifiedBy>
  <cp:revision>2</cp:revision>
  <dcterms:created xsi:type="dcterms:W3CDTF">2020-01-07T15:28:00Z</dcterms:created>
  <dcterms:modified xsi:type="dcterms:W3CDTF">2020-01-07T15:28:00Z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0x010100C38BC292243D444BAF4B72B0540015F2</vt:lpwstr>
  </property>
</Properties>
</file>